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F7401D" w:rsidRDefault="00F92268" w:rsidP="00850792">
      <w:pPr>
        <w:pStyle w:val="BodyText"/>
        <w:rPr>
          <w:sz w:val="6"/>
          <w:szCs w:val="6"/>
        </w:rPr>
      </w:pPr>
      <w:r w:rsidRPr="00F7401D">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F7401D"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F7401D" w:rsidRDefault="00F92268" w:rsidP="00F246C7">
            <w:pPr>
              <w:pStyle w:val="RefTableData"/>
            </w:pPr>
            <w:r w:rsidRPr="00F7401D">
              <w:t>Reference number(s)</w:t>
            </w:r>
          </w:p>
        </w:tc>
      </w:tr>
      <w:tr w:rsidR="00F92268" w:rsidRPr="00F7401D"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572C1413" w:rsidR="00F92268" w:rsidRPr="00F7401D" w:rsidRDefault="00E57C0A" w:rsidP="00F246C7">
            <w:pPr>
              <w:pStyle w:val="RefTableHeader"/>
            </w:pPr>
            <w:r w:rsidRPr="00F7401D">
              <w:t>1927-A</w:t>
            </w:r>
          </w:p>
        </w:tc>
      </w:tr>
    </w:tbl>
    <w:p w14:paraId="74FBA5B4" w14:textId="77777777" w:rsidR="00051356" w:rsidRPr="00F7401D" w:rsidRDefault="00051356" w:rsidP="00A672B3">
      <w:pPr>
        <w:pStyle w:val="BodyText"/>
        <w:rPr>
          <w:b/>
          <w:bCs/>
          <w:sz w:val="16"/>
          <w:szCs w:val="16"/>
        </w:rPr>
        <w:sectPr w:rsidR="00051356" w:rsidRPr="00F7401D"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78959FAE" w:rsidR="004B15BB" w:rsidRPr="00F7401D" w:rsidRDefault="00E57C0A" w:rsidP="007E5C16">
      <w:pPr>
        <w:pStyle w:val="Heading1"/>
      </w:pPr>
      <w:r w:rsidRPr="00F7401D">
        <w:t>Specialty Guideline Management</w:t>
      </w:r>
      <w:r w:rsidR="008C54D9" w:rsidRPr="00F7401D">
        <w:br/>
      </w:r>
      <w:r w:rsidRPr="00F7401D">
        <w:t>Nplate</w:t>
      </w:r>
    </w:p>
    <w:p w14:paraId="78861C92" w14:textId="100DF4F4" w:rsidR="00203468" w:rsidRPr="00F7401D" w:rsidRDefault="00C64534" w:rsidP="008E0F0D">
      <w:pPr>
        <w:pStyle w:val="Heading2"/>
      </w:pPr>
      <w:r w:rsidRPr="00F7401D">
        <w:t xml:space="preserve">Products Referenced by this </w:t>
      </w:r>
      <w:r w:rsidR="00501602" w:rsidRPr="00F7401D">
        <w:t>Document</w:t>
      </w:r>
      <w:r w:rsidR="0026796B" w:rsidRPr="00F7401D">
        <w:t xml:space="preserve"> </w:t>
      </w:r>
    </w:p>
    <w:p w14:paraId="07868740" w14:textId="37DD3EDE" w:rsidR="00725714" w:rsidRPr="00F7401D" w:rsidRDefault="00D82D85" w:rsidP="00E57C0A">
      <w:pPr>
        <w:pStyle w:val="BodyText"/>
      </w:pPr>
      <w:r w:rsidRPr="00F7401D">
        <w:t xml:space="preserve">Drugs that are listed in the </w:t>
      </w:r>
      <w:r w:rsidR="000315F1" w:rsidRPr="00F7401D">
        <w:t>following table</w:t>
      </w:r>
      <w:r w:rsidRPr="00F7401D">
        <w:t xml:space="preserve"> include both brand and generic and all dosage forms and strengths unless otherwise stated. </w:t>
      </w:r>
      <w:r w:rsidR="00B04182">
        <w:rPr>
          <w:rStyle w:val="ui-provider"/>
        </w:rPr>
        <w:t>Over-the-counter (OTC)</w:t>
      </w:r>
      <w:r w:rsidRPr="00F7401D">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1237FB" w:rsidRPr="00F7401D" w14:paraId="057AAA89" w14:textId="77777777">
        <w:trPr>
          <w:cantSplit/>
          <w:trHeight w:val="288"/>
          <w:tblHeader/>
        </w:trPr>
        <w:tc>
          <w:tcPr>
            <w:tcW w:w="5265" w:type="dxa"/>
            <w:vAlign w:val="center"/>
          </w:tcPr>
          <w:p w14:paraId="6CBFE1BD" w14:textId="77777777" w:rsidR="005B4D7C" w:rsidRPr="00F7401D" w:rsidRDefault="005B4D7C">
            <w:pPr>
              <w:pStyle w:val="TableHeader"/>
            </w:pPr>
            <w:r w:rsidRPr="00F7401D">
              <w:t>Brand Name</w:t>
            </w:r>
          </w:p>
        </w:tc>
        <w:tc>
          <w:tcPr>
            <w:tcW w:w="5595" w:type="dxa"/>
            <w:vAlign w:val="center"/>
          </w:tcPr>
          <w:p w14:paraId="18440B85" w14:textId="77777777" w:rsidR="005B4D7C" w:rsidRPr="00F7401D" w:rsidRDefault="005B4D7C">
            <w:pPr>
              <w:pStyle w:val="TableHeader"/>
            </w:pPr>
            <w:r w:rsidRPr="00F7401D">
              <w:t>Generic Name</w:t>
            </w:r>
          </w:p>
        </w:tc>
      </w:tr>
      <w:tr w:rsidR="001237FB" w:rsidRPr="00F7401D" w14:paraId="7742B1EC" w14:textId="77777777">
        <w:trPr>
          <w:cantSplit/>
        </w:trPr>
        <w:tc>
          <w:tcPr>
            <w:tcW w:w="5265" w:type="dxa"/>
          </w:tcPr>
          <w:p w14:paraId="4DED0C9B" w14:textId="21E5AA1E" w:rsidR="005B4D7C" w:rsidRPr="00F7401D" w:rsidRDefault="00E57C0A">
            <w:pPr>
              <w:pStyle w:val="TableDataUnpadded"/>
            </w:pPr>
            <w:r w:rsidRPr="00F7401D">
              <w:t>Nplate</w:t>
            </w:r>
          </w:p>
        </w:tc>
        <w:tc>
          <w:tcPr>
            <w:tcW w:w="5595" w:type="dxa"/>
          </w:tcPr>
          <w:p w14:paraId="1A09710D" w14:textId="0A86FC80" w:rsidR="005B4D7C" w:rsidRPr="00F7401D" w:rsidRDefault="00E57C0A">
            <w:pPr>
              <w:pStyle w:val="TableDataUnpadded"/>
            </w:pPr>
            <w:r w:rsidRPr="00F7401D">
              <w:t>romiplostim</w:t>
            </w:r>
          </w:p>
        </w:tc>
      </w:tr>
    </w:tbl>
    <w:p w14:paraId="14CE6108" w14:textId="1F1BC75B" w:rsidR="00FC1AAD" w:rsidRPr="00F7401D" w:rsidRDefault="00ED052F" w:rsidP="00AA2A94">
      <w:pPr>
        <w:pStyle w:val="Heading2"/>
        <w:tabs>
          <w:tab w:val="left" w:pos="9540"/>
        </w:tabs>
      </w:pPr>
      <w:r w:rsidRPr="00F7401D">
        <w:t>Indications</w:t>
      </w:r>
    </w:p>
    <w:p w14:paraId="10B269C1" w14:textId="3C4600AB" w:rsidR="00E57C0A" w:rsidRPr="00F7401D" w:rsidRDefault="00E57C0A" w:rsidP="00E57C0A">
      <w:pPr>
        <w:pStyle w:val="BodyText"/>
      </w:pPr>
      <w:r w:rsidRPr="00F7401D">
        <w:t>The indications below including FDA-approved indications and compendial uses are considered a covered benefit provided that all the approval criteria are met and the member has no exclusions to the prescribed therapy.</w:t>
      </w:r>
    </w:p>
    <w:p w14:paraId="134B5687" w14:textId="19BBB3A9" w:rsidR="00ED052F" w:rsidRPr="00025724" w:rsidRDefault="00ED052F" w:rsidP="00ED052F">
      <w:pPr>
        <w:pStyle w:val="Heading3"/>
        <w:keepNext w:val="0"/>
      </w:pPr>
      <w:r w:rsidRPr="00F7401D">
        <w:t>FDA-approved Indications</w:t>
      </w:r>
    </w:p>
    <w:p w14:paraId="3AA0D864" w14:textId="75A553B2" w:rsidR="00E57C0A" w:rsidRPr="00D00FEA" w:rsidRDefault="00E57C0A" w:rsidP="00D00FEA">
      <w:pPr>
        <w:pStyle w:val="ListParagraph"/>
        <w:numPr>
          <w:ilvl w:val="0"/>
          <w:numId w:val="29"/>
        </w:numPr>
      </w:pPr>
      <w:r w:rsidRPr="00D00FEA">
        <w:t>Nplate is indicated for the treatment of thrombocytopenia in:</w:t>
      </w:r>
    </w:p>
    <w:p w14:paraId="479A39B6" w14:textId="77777777" w:rsidR="00E57C0A" w:rsidRPr="00D00FEA" w:rsidRDefault="00E57C0A" w:rsidP="00D00FEA">
      <w:pPr>
        <w:pStyle w:val="ListParagraph"/>
        <w:numPr>
          <w:ilvl w:val="1"/>
          <w:numId w:val="30"/>
        </w:numPr>
      </w:pPr>
      <w:r w:rsidRPr="00D00FEA">
        <w:t>Adult patients with immune thrombocytopenia (ITP) who have had an insufficient response to corticosteroids, immunoglobulins, or splenectomy.</w:t>
      </w:r>
    </w:p>
    <w:p w14:paraId="02A4DC9A" w14:textId="77777777" w:rsidR="00E57C0A" w:rsidRPr="00D00FEA" w:rsidRDefault="00E57C0A" w:rsidP="00D00FEA">
      <w:pPr>
        <w:pStyle w:val="ListParagraph"/>
        <w:numPr>
          <w:ilvl w:val="1"/>
          <w:numId w:val="30"/>
        </w:numPr>
      </w:pPr>
      <w:r w:rsidRPr="00D00FEA">
        <w:t>Pediatric patients 1 year of age and older with ITP for at least 6 months who have had an insufficient response to corticosteroids, immunoglobulins, or splenectomy.</w:t>
      </w:r>
    </w:p>
    <w:p w14:paraId="3058A5F8" w14:textId="2D638028" w:rsidR="005C778C" w:rsidRPr="00D00FEA" w:rsidRDefault="00E57C0A" w:rsidP="00D00FEA">
      <w:pPr>
        <w:pStyle w:val="ListParagraph"/>
        <w:numPr>
          <w:ilvl w:val="0"/>
          <w:numId w:val="29"/>
        </w:numPr>
      </w:pPr>
      <w:r w:rsidRPr="00D00FEA">
        <w:t>Nplate is indicated to increase survival in adults and in pediatric patients (including term neonates) acutely exposed to myelosuppressive doses of radiation (Hematopoietic Syndrome of Acute Radiation Syndrome [HS-ARS]).</w:t>
      </w:r>
    </w:p>
    <w:p w14:paraId="0B5EC236" w14:textId="0A4BD1C9" w:rsidR="0044763A" w:rsidRPr="00025724" w:rsidRDefault="009F2EF1" w:rsidP="0044763A">
      <w:pPr>
        <w:pStyle w:val="Heading3"/>
      </w:pPr>
      <w:r w:rsidRPr="00F7401D">
        <w:t>Compendial Uses</w:t>
      </w:r>
    </w:p>
    <w:p w14:paraId="666467E1" w14:textId="77777777" w:rsidR="00E57C0A" w:rsidRPr="00F7401D" w:rsidRDefault="00E57C0A" w:rsidP="00E57C0A">
      <w:pPr>
        <w:pStyle w:val="ListParagraph"/>
      </w:pPr>
      <w:r w:rsidRPr="00F7401D">
        <w:t>Myelodysplastic syndromes (MDS)</w:t>
      </w:r>
    </w:p>
    <w:p w14:paraId="34F20977" w14:textId="77777777" w:rsidR="00E57C0A" w:rsidRPr="00F7401D" w:rsidRDefault="00E57C0A" w:rsidP="00E57C0A">
      <w:pPr>
        <w:pStyle w:val="ListParagraph"/>
      </w:pPr>
      <w:r w:rsidRPr="00F7401D">
        <w:t>Chemotherapy-induced thrombocytopenia (CIT)</w:t>
      </w:r>
    </w:p>
    <w:p w14:paraId="024E8EA4" w14:textId="5C706273" w:rsidR="00E57C0A" w:rsidRPr="00F7401D" w:rsidRDefault="00E57C0A" w:rsidP="00E57C0A">
      <w:pPr>
        <w:pStyle w:val="BodyText"/>
      </w:pPr>
      <w:r w:rsidRPr="00F7401D">
        <w:lastRenderedPageBreak/>
        <w:t>All other indications are considered experimental/investigational and not medically necessary.</w:t>
      </w:r>
    </w:p>
    <w:p w14:paraId="36381B6D" w14:textId="07BBAC54" w:rsidR="000D2496" w:rsidRPr="00F7401D" w:rsidRDefault="000D2496" w:rsidP="000D2496">
      <w:pPr>
        <w:pStyle w:val="Heading2"/>
        <w:rPr>
          <w:rFonts w:eastAsia="Arial"/>
        </w:rPr>
      </w:pPr>
      <w:r w:rsidRPr="00F7401D">
        <w:t>Documentation</w:t>
      </w:r>
    </w:p>
    <w:p w14:paraId="478204A3" w14:textId="45CEC3D2" w:rsidR="00E57C0A" w:rsidRPr="00F7401D" w:rsidRDefault="00E57C0A" w:rsidP="00E57C0A">
      <w:pPr>
        <w:pStyle w:val="BodyText"/>
      </w:pPr>
      <w:r w:rsidRPr="00F7401D">
        <w:t>Submission of the following information is necessary to initiate the prior authorization review for immune thrombocytopenia (ITP) and chemotherapy-induced thrombocytopenia (CIT):</w:t>
      </w:r>
    </w:p>
    <w:p w14:paraId="61F8ABC4" w14:textId="77777777" w:rsidR="00E57C0A" w:rsidRPr="00F7401D" w:rsidRDefault="00E57C0A" w:rsidP="00D00FEA">
      <w:pPr>
        <w:pStyle w:val="ListParagraph"/>
        <w:numPr>
          <w:ilvl w:val="0"/>
          <w:numId w:val="34"/>
        </w:numPr>
      </w:pPr>
      <w:r w:rsidRPr="00F7401D">
        <w:t>For initial requests: pretreatment platelet count</w:t>
      </w:r>
    </w:p>
    <w:p w14:paraId="065B091E" w14:textId="050D175A" w:rsidR="00006174" w:rsidRDefault="00E57C0A" w:rsidP="00D00FEA">
      <w:pPr>
        <w:pStyle w:val="ListParagraph"/>
        <w:numPr>
          <w:ilvl w:val="0"/>
          <w:numId w:val="34"/>
        </w:numPr>
      </w:pPr>
      <w:r w:rsidRPr="00F7401D">
        <w:t>For continuation requests: current platelet count</w:t>
      </w:r>
    </w:p>
    <w:p w14:paraId="36DEDE9B" w14:textId="283B16B3" w:rsidR="00D00FEA" w:rsidRPr="00F7401D" w:rsidRDefault="00D00FEA" w:rsidP="00D00FEA">
      <w:pPr>
        <w:pStyle w:val="Heading2"/>
      </w:pPr>
      <w:r w:rsidRPr="00F7401D">
        <w:t>Exclusions</w:t>
      </w:r>
    </w:p>
    <w:p w14:paraId="1F0EB4E8" w14:textId="77777777" w:rsidR="00D00FEA" w:rsidRPr="00F7401D" w:rsidRDefault="00D00FEA" w:rsidP="00D00FEA">
      <w:pPr>
        <w:pStyle w:val="BodyText"/>
      </w:pPr>
      <w:r w:rsidRPr="00F7401D">
        <w:t>Coverage will not be provided when Nplate will be used concomitantly with other thrombopoietin receptor agonists (e.g., Promacta, Alvaiz, Doptelet, Mulpleta) or spleen tyrosine kinase inhibitors (e.g., Tavalisse).</w:t>
      </w:r>
    </w:p>
    <w:p w14:paraId="560B03ED" w14:textId="73376A12" w:rsidR="00E57C0A" w:rsidRPr="00F7401D" w:rsidRDefault="00E57C0A" w:rsidP="00E57C0A">
      <w:pPr>
        <w:pStyle w:val="Heading2"/>
      </w:pPr>
      <w:r w:rsidRPr="00F7401D">
        <w:t>Prescriber Specialties</w:t>
      </w:r>
    </w:p>
    <w:p w14:paraId="5BD45370" w14:textId="5BBAD2BA" w:rsidR="00E57C0A" w:rsidRPr="00F7401D" w:rsidRDefault="00E57C0A" w:rsidP="00E57C0A">
      <w:pPr>
        <w:pStyle w:val="BodyText"/>
      </w:pPr>
      <w:r w:rsidRPr="00F7401D">
        <w:t>This medication must be prescribed by or in consultation with a hematologist or oncologist</w:t>
      </w:r>
      <w:r w:rsidR="009B1312">
        <w:t>.</w:t>
      </w:r>
    </w:p>
    <w:p w14:paraId="50A38FBA" w14:textId="7DE28879" w:rsidR="00FE0C63" w:rsidRPr="00F7401D" w:rsidRDefault="00685107" w:rsidP="00E050E1">
      <w:pPr>
        <w:pStyle w:val="Heading2"/>
      </w:pPr>
      <w:r w:rsidRPr="00F7401D">
        <w:t>Coverage Criteria</w:t>
      </w:r>
    </w:p>
    <w:p w14:paraId="2B042E86" w14:textId="130F555F" w:rsidR="00E57C0A" w:rsidRPr="00025724" w:rsidRDefault="00E57C0A" w:rsidP="00E57C0A">
      <w:pPr>
        <w:pStyle w:val="Heading3"/>
      </w:pPr>
      <w:r w:rsidRPr="00F7401D">
        <w:t xml:space="preserve">Immune </w:t>
      </w:r>
      <w:r w:rsidR="00D00FEA" w:rsidRPr="00F7401D">
        <w:t xml:space="preserve">Thrombocytopenia </w:t>
      </w:r>
      <w:r w:rsidRPr="00F7401D">
        <w:t>(ITP)</w:t>
      </w:r>
    </w:p>
    <w:p w14:paraId="5A798B1E" w14:textId="77777777" w:rsidR="00E57C0A" w:rsidRPr="00F7401D" w:rsidRDefault="00E57C0A" w:rsidP="00E57C0A">
      <w:pPr>
        <w:pStyle w:val="BodyText"/>
      </w:pPr>
      <w:r w:rsidRPr="00F7401D">
        <w:t>Authorization of 6 months may be granted for treatment of ITP when both of the following criteria are met:</w:t>
      </w:r>
    </w:p>
    <w:p w14:paraId="03DADFD5" w14:textId="77777777" w:rsidR="00E57C0A" w:rsidRPr="00F7401D" w:rsidRDefault="00E57C0A" w:rsidP="00D00FEA">
      <w:pPr>
        <w:pStyle w:val="ListParagraph"/>
        <w:numPr>
          <w:ilvl w:val="0"/>
          <w:numId w:val="33"/>
        </w:numPr>
      </w:pPr>
      <w:r w:rsidRPr="00F7401D">
        <w:t>Member has had an inadequate response or intolerance to prior therapy with corticosteroids, immunoglobulins, or splenectomy.</w:t>
      </w:r>
    </w:p>
    <w:p w14:paraId="7EC9B15C" w14:textId="77777777" w:rsidR="00E57C0A" w:rsidRPr="00F7401D" w:rsidRDefault="00E57C0A" w:rsidP="00D00FEA">
      <w:pPr>
        <w:pStyle w:val="ListParagraph"/>
        <w:numPr>
          <w:ilvl w:val="0"/>
          <w:numId w:val="33"/>
        </w:numPr>
      </w:pPr>
      <w:r w:rsidRPr="00F7401D">
        <w:t xml:space="preserve">Member has an </w:t>
      </w:r>
      <w:proofErr w:type="spellStart"/>
      <w:r w:rsidRPr="00F7401D">
        <w:t>untransfused</w:t>
      </w:r>
      <w:proofErr w:type="spellEnd"/>
      <w:r w:rsidRPr="00F7401D">
        <w:t xml:space="preserve"> platelet count at any point prior to the initiation of the requested medication of either of the following:</w:t>
      </w:r>
    </w:p>
    <w:p w14:paraId="1AA62576" w14:textId="77777777" w:rsidR="00E57C0A" w:rsidRPr="00F7401D" w:rsidRDefault="00E57C0A" w:rsidP="00D00FEA">
      <w:pPr>
        <w:pStyle w:val="ListParagraph"/>
        <w:numPr>
          <w:ilvl w:val="1"/>
          <w:numId w:val="33"/>
        </w:numPr>
      </w:pPr>
      <w:r w:rsidRPr="00F7401D">
        <w:t>Less than 30x10</w:t>
      </w:r>
      <w:r w:rsidRPr="00D00FEA">
        <w:rPr>
          <w:vertAlign w:val="superscript"/>
        </w:rPr>
        <w:t>9</w:t>
      </w:r>
      <w:r w:rsidRPr="00F7401D">
        <w:t>/L</w:t>
      </w:r>
    </w:p>
    <w:p w14:paraId="72F7F043" w14:textId="77777777" w:rsidR="00E57C0A" w:rsidRPr="00F7401D" w:rsidRDefault="00E57C0A" w:rsidP="00D00FEA">
      <w:pPr>
        <w:pStyle w:val="ListParagraph"/>
        <w:numPr>
          <w:ilvl w:val="1"/>
          <w:numId w:val="33"/>
        </w:numPr>
      </w:pPr>
      <w:r w:rsidRPr="00F7401D">
        <w:t>30x10</w:t>
      </w:r>
      <w:r w:rsidRPr="00D00FEA">
        <w:rPr>
          <w:vertAlign w:val="superscript"/>
        </w:rPr>
        <w:t>9</w:t>
      </w:r>
      <w:r w:rsidRPr="00F7401D">
        <w:t>/L to 50x10</w:t>
      </w:r>
      <w:r w:rsidRPr="00D00FEA">
        <w:rPr>
          <w:vertAlign w:val="superscript"/>
        </w:rPr>
        <w:t>9</w:t>
      </w:r>
      <w:r w:rsidRPr="00F7401D">
        <w:t>/L with symptomatic bleeding (e.g., significant mucous membrane bleeding, gastrointestinal bleeding or trauma) or risk factors for bleeding (see Appendix)</w:t>
      </w:r>
    </w:p>
    <w:p w14:paraId="3E451EC4" w14:textId="6A037E58" w:rsidR="00E57C0A" w:rsidRPr="00F7401D" w:rsidRDefault="00E57C0A" w:rsidP="00E57C0A">
      <w:pPr>
        <w:pStyle w:val="Heading3"/>
      </w:pPr>
      <w:r w:rsidRPr="00F7401D">
        <w:t xml:space="preserve">Hematopoietic </w:t>
      </w:r>
      <w:r w:rsidR="00D00FEA" w:rsidRPr="00F7401D">
        <w:t xml:space="preserve">Syndrome </w:t>
      </w:r>
      <w:r w:rsidR="00D00FEA">
        <w:t>o</w:t>
      </w:r>
      <w:r w:rsidR="00D00FEA" w:rsidRPr="00F7401D">
        <w:t xml:space="preserve">f Acute Radiation Syndrome </w:t>
      </w:r>
      <w:r w:rsidRPr="00F7401D">
        <w:t>(HS-ARS)</w:t>
      </w:r>
    </w:p>
    <w:p w14:paraId="7CBA0A95" w14:textId="769A73AE" w:rsidR="00E57C0A" w:rsidRPr="00F7401D" w:rsidRDefault="00E57C0A" w:rsidP="00E57C0A">
      <w:pPr>
        <w:pStyle w:val="BodyText"/>
      </w:pPr>
      <w:r w:rsidRPr="00F7401D">
        <w:t>Authorization of 1 month may be granted for treatment of hematopoietic syndrome of acute radiation syndrome (acute exposure to myelosuppressive doses of radiation).</w:t>
      </w:r>
    </w:p>
    <w:p w14:paraId="74001F6E" w14:textId="65FB0534" w:rsidR="00E57C0A" w:rsidRPr="00F7401D" w:rsidRDefault="00E57C0A" w:rsidP="00E57C0A">
      <w:pPr>
        <w:pStyle w:val="Heading3"/>
      </w:pPr>
      <w:r w:rsidRPr="00F7401D">
        <w:lastRenderedPageBreak/>
        <w:t>Myelodysplastic Syndromes</w:t>
      </w:r>
    </w:p>
    <w:p w14:paraId="43C2C755" w14:textId="77777777" w:rsidR="00E57C0A" w:rsidRPr="00F7401D" w:rsidRDefault="00E57C0A" w:rsidP="00E57C0A">
      <w:pPr>
        <w:pStyle w:val="BodyText"/>
      </w:pPr>
      <w:r w:rsidRPr="00F7401D">
        <w:t>Authorization of 12 months may be granted for treatment of myelodysplastic syndromes (MDS).</w:t>
      </w:r>
    </w:p>
    <w:p w14:paraId="372FBCEF" w14:textId="4B174449" w:rsidR="00E57C0A" w:rsidRPr="00025724" w:rsidRDefault="00E57C0A" w:rsidP="00E57C0A">
      <w:pPr>
        <w:pStyle w:val="Heading3"/>
      </w:pPr>
      <w:r w:rsidRPr="00F7401D">
        <w:t>Chemotherapy</w:t>
      </w:r>
      <w:r w:rsidR="00D00FEA" w:rsidRPr="00F7401D">
        <w:t xml:space="preserve">-Induced Thrombocytopenia </w:t>
      </w:r>
      <w:r w:rsidRPr="00F7401D">
        <w:t>(CIT)</w:t>
      </w:r>
    </w:p>
    <w:p w14:paraId="662B871D" w14:textId="3D6FED86" w:rsidR="00E57C0A" w:rsidRPr="00F7401D" w:rsidRDefault="00E57C0A" w:rsidP="00E57C0A">
      <w:pPr>
        <w:pStyle w:val="BodyText"/>
      </w:pPr>
      <w:r w:rsidRPr="00F7401D">
        <w:t>Authorization of 6 months may be granted for treatment of chemotherapy-induced thrombocytopenia (CIT) when either of the following criteria is met:</w:t>
      </w:r>
    </w:p>
    <w:p w14:paraId="4C3E4605" w14:textId="77777777" w:rsidR="001237FB" w:rsidRPr="00F7401D" w:rsidRDefault="001237FB" w:rsidP="00D00FEA">
      <w:pPr>
        <w:pStyle w:val="ListParagraph"/>
        <w:numPr>
          <w:ilvl w:val="0"/>
          <w:numId w:val="32"/>
        </w:numPr>
      </w:pPr>
      <w:r w:rsidRPr="00F7401D">
        <w:t>The platelet count is less than 100x10</w:t>
      </w:r>
      <w:r w:rsidRPr="00D00FEA">
        <w:rPr>
          <w:vertAlign w:val="superscript"/>
        </w:rPr>
        <w:t>9</w:t>
      </w:r>
      <w:r w:rsidRPr="00F7401D">
        <w:t>/L for at least 3 to 4 weeks following the last chemotherapy administration.</w:t>
      </w:r>
    </w:p>
    <w:p w14:paraId="09FE552B" w14:textId="0C110809" w:rsidR="001237FB" w:rsidRPr="00F7401D" w:rsidRDefault="001237FB" w:rsidP="00D00FEA">
      <w:pPr>
        <w:pStyle w:val="ListParagraph"/>
        <w:numPr>
          <w:ilvl w:val="0"/>
          <w:numId w:val="32"/>
        </w:numPr>
      </w:pPr>
      <w:r w:rsidRPr="00F7401D">
        <w:t>Chemotherapy administration has been delayed related to thrombocytopenia.</w:t>
      </w:r>
    </w:p>
    <w:p w14:paraId="3A643EC3" w14:textId="50A68BF6" w:rsidR="00A501AC" w:rsidRPr="00F7401D" w:rsidRDefault="00A501AC" w:rsidP="00A501AC">
      <w:pPr>
        <w:pStyle w:val="Heading2"/>
      </w:pPr>
      <w:r w:rsidRPr="00F7401D">
        <w:t xml:space="preserve">Continuation of Therapy </w:t>
      </w:r>
    </w:p>
    <w:p w14:paraId="399AF86D" w14:textId="21C0841D" w:rsidR="001237FB" w:rsidRPr="00F7401D" w:rsidRDefault="001237FB" w:rsidP="001237FB">
      <w:pPr>
        <w:pStyle w:val="Heading3"/>
      </w:pPr>
      <w:r w:rsidRPr="00F7401D">
        <w:t xml:space="preserve">Immune </w:t>
      </w:r>
      <w:r w:rsidR="00D00FEA" w:rsidRPr="00F7401D">
        <w:t xml:space="preserve">Thrombocytopenia </w:t>
      </w:r>
      <w:r w:rsidRPr="00F7401D">
        <w:t>(ITP)</w:t>
      </w:r>
    </w:p>
    <w:p w14:paraId="0939463E" w14:textId="77777777" w:rsidR="001237FB" w:rsidRPr="00F7401D" w:rsidRDefault="001237FB" w:rsidP="00D00FEA">
      <w:pPr>
        <w:pStyle w:val="ListParagraph"/>
        <w:numPr>
          <w:ilvl w:val="0"/>
          <w:numId w:val="31"/>
        </w:numPr>
      </w:pPr>
      <w:r w:rsidRPr="00F7401D">
        <w:t>Authorization of 3 months may be granted to members with current platelet count less than 50x10</w:t>
      </w:r>
      <w:r w:rsidRPr="00D00FEA">
        <w:rPr>
          <w:vertAlign w:val="superscript"/>
        </w:rPr>
        <w:t>9</w:t>
      </w:r>
      <w:r w:rsidRPr="00F7401D">
        <w:t>/L for whom the platelet count is not sufficient to prevent clinically important bleeding and who have not received a maximal Nplate dose for at least 4 weeks.</w:t>
      </w:r>
    </w:p>
    <w:p w14:paraId="7548676D" w14:textId="77777777" w:rsidR="001237FB" w:rsidRPr="00F7401D" w:rsidRDefault="001237FB" w:rsidP="00D00FEA">
      <w:pPr>
        <w:pStyle w:val="ListParagraph"/>
        <w:numPr>
          <w:ilvl w:val="0"/>
          <w:numId w:val="31"/>
        </w:numPr>
      </w:pPr>
      <w:r w:rsidRPr="00F7401D">
        <w:t>Authorization of 12 months may be granted to members with current platelet count less than 50x10</w:t>
      </w:r>
      <w:r w:rsidRPr="00D00FEA">
        <w:rPr>
          <w:vertAlign w:val="superscript"/>
        </w:rPr>
        <w:t>9</w:t>
      </w:r>
      <w:r w:rsidRPr="00F7401D">
        <w:t>/L for whom the current platelet count is sufficient to prevent clinically important bleeding.</w:t>
      </w:r>
    </w:p>
    <w:p w14:paraId="75B4B58F" w14:textId="77777777" w:rsidR="001237FB" w:rsidRPr="00F7401D" w:rsidRDefault="001237FB" w:rsidP="00D00FEA">
      <w:pPr>
        <w:pStyle w:val="ListParagraph"/>
        <w:numPr>
          <w:ilvl w:val="0"/>
          <w:numId w:val="31"/>
        </w:numPr>
      </w:pPr>
      <w:r w:rsidRPr="00F7401D">
        <w:t>Authorization of 12 months may be granted to members with current platelet count of 50x10</w:t>
      </w:r>
      <w:r w:rsidRPr="00D00FEA">
        <w:rPr>
          <w:vertAlign w:val="superscript"/>
        </w:rPr>
        <w:t>9</w:t>
      </w:r>
      <w:r w:rsidRPr="00F7401D">
        <w:t>/L to 200x10</w:t>
      </w:r>
      <w:r w:rsidRPr="00D00FEA">
        <w:rPr>
          <w:vertAlign w:val="superscript"/>
        </w:rPr>
        <w:t>9</w:t>
      </w:r>
      <w:r w:rsidRPr="00F7401D">
        <w:t>/L.</w:t>
      </w:r>
    </w:p>
    <w:p w14:paraId="30A61D9F" w14:textId="77777777" w:rsidR="001237FB" w:rsidRPr="00F7401D" w:rsidRDefault="001237FB" w:rsidP="00D00FEA">
      <w:pPr>
        <w:pStyle w:val="ListParagraph"/>
        <w:numPr>
          <w:ilvl w:val="0"/>
          <w:numId w:val="31"/>
        </w:numPr>
      </w:pPr>
      <w:r w:rsidRPr="00F7401D">
        <w:t>Authorization of 12 months may be granted to members with current platelet count greater than 200x10</w:t>
      </w:r>
      <w:r w:rsidRPr="00D00FEA">
        <w:rPr>
          <w:vertAlign w:val="superscript"/>
        </w:rPr>
        <w:t>9</w:t>
      </w:r>
      <w:r w:rsidRPr="00F7401D">
        <w:t>/L to less than or equal to 400x10</w:t>
      </w:r>
      <w:r w:rsidRPr="00D00FEA">
        <w:rPr>
          <w:vertAlign w:val="superscript"/>
        </w:rPr>
        <w:t>9</w:t>
      </w:r>
      <w:r w:rsidRPr="00F7401D">
        <w:t>/L for whom Nplate dosing will be adjusted to achieve a platelet count sufficient to avoid clinically important bleeding.</w:t>
      </w:r>
    </w:p>
    <w:p w14:paraId="5DDE72F3" w14:textId="27710522" w:rsidR="001237FB" w:rsidRPr="00F7401D" w:rsidRDefault="001237FB" w:rsidP="001237FB">
      <w:pPr>
        <w:pStyle w:val="Heading3"/>
      </w:pPr>
      <w:r w:rsidRPr="00F7401D">
        <w:t xml:space="preserve">Hematopoietic </w:t>
      </w:r>
      <w:r w:rsidR="00D00FEA" w:rsidRPr="00F7401D">
        <w:t xml:space="preserve">Syndrome </w:t>
      </w:r>
      <w:r w:rsidR="00D00FEA">
        <w:t>o</w:t>
      </w:r>
      <w:r w:rsidR="00D00FEA" w:rsidRPr="00F7401D">
        <w:t xml:space="preserve">f Acute Radiation Syndrome </w:t>
      </w:r>
      <w:r w:rsidRPr="00F7401D">
        <w:t>(HS-ARS)</w:t>
      </w:r>
    </w:p>
    <w:p w14:paraId="39ECB9CE" w14:textId="77777777" w:rsidR="001237FB" w:rsidRPr="00F7401D" w:rsidRDefault="001237FB" w:rsidP="001237FB">
      <w:pPr>
        <w:pStyle w:val="BodyText"/>
      </w:pPr>
      <w:r w:rsidRPr="00F7401D">
        <w:t>All members (including new members) requesting authorization for continuation of therapy must meet all requirements in the coverage criteria.</w:t>
      </w:r>
    </w:p>
    <w:p w14:paraId="3E7FEF5F" w14:textId="605B3E47" w:rsidR="001237FB" w:rsidRPr="00F7401D" w:rsidRDefault="001237FB" w:rsidP="001237FB">
      <w:pPr>
        <w:pStyle w:val="Heading3"/>
      </w:pPr>
      <w:r w:rsidRPr="00F7401D">
        <w:t>Myelodysplastic Syndromes</w:t>
      </w:r>
    </w:p>
    <w:p w14:paraId="4D0EF1D1" w14:textId="77777777" w:rsidR="001237FB" w:rsidRPr="00F7401D" w:rsidRDefault="001237FB" w:rsidP="001237FB">
      <w:pPr>
        <w:pStyle w:val="BodyText"/>
      </w:pPr>
      <w:r w:rsidRPr="00F7401D">
        <w:t>Authorization of 12 months may be granted for continued treatment of myelodysplastic syndromes in members who experience benefit from therapy (e.g., increased platelet counts, decreased bleeding events, reduced need for platelet transfusions).</w:t>
      </w:r>
    </w:p>
    <w:p w14:paraId="620BF42E" w14:textId="0C4C507D" w:rsidR="001237FB" w:rsidRPr="00F7401D" w:rsidRDefault="001237FB" w:rsidP="001237FB">
      <w:pPr>
        <w:pStyle w:val="Heading3"/>
      </w:pPr>
      <w:r w:rsidRPr="00F7401D">
        <w:lastRenderedPageBreak/>
        <w:t>Chemotherapy</w:t>
      </w:r>
      <w:r w:rsidR="00D00FEA" w:rsidRPr="00F7401D">
        <w:t>-Induced Thrombocytopenia</w:t>
      </w:r>
    </w:p>
    <w:p w14:paraId="7FA38144" w14:textId="1E54BF71" w:rsidR="001237FB" w:rsidRPr="00F7401D" w:rsidRDefault="001237FB" w:rsidP="001237FB">
      <w:pPr>
        <w:pStyle w:val="BodyText"/>
      </w:pPr>
      <w:r w:rsidRPr="00F7401D">
        <w:t>Authorization of 6 months may be granted for continued treatment of chemotherapy-induced thrombocytopenia (CIT) when both of the following criteria are met:</w:t>
      </w:r>
    </w:p>
    <w:p w14:paraId="3EA317DF" w14:textId="77777777" w:rsidR="001237FB" w:rsidRPr="00F7401D" w:rsidRDefault="001237FB" w:rsidP="00D00FEA">
      <w:pPr>
        <w:pStyle w:val="ListParagraph"/>
        <w:numPr>
          <w:ilvl w:val="0"/>
          <w:numId w:val="35"/>
        </w:numPr>
      </w:pPr>
      <w:r w:rsidRPr="00F7401D">
        <w:t>Member is experiencing benefit from therapy (e.g., increased platelet counts, decreased bleeding events, reduced need for platelet transfusions) to maintain a target platelet count goal of 100x10</w:t>
      </w:r>
      <w:r w:rsidRPr="00D00FEA">
        <w:rPr>
          <w:vertAlign w:val="superscript"/>
        </w:rPr>
        <w:t>9</w:t>
      </w:r>
      <w:r w:rsidRPr="00F7401D">
        <w:t>/L to 200x10</w:t>
      </w:r>
      <w:r w:rsidRPr="00D00FEA">
        <w:rPr>
          <w:vertAlign w:val="superscript"/>
        </w:rPr>
        <w:t>9</w:t>
      </w:r>
      <w:r w:rsidRPr="00F7401D">
        <w:t>/L.</w:t>
      </w:r>
    </w:p>
    <w:p w14:paraId="11D79DC2" w14:textId="77777777" w:rsidR="001237FB" w:rsidRPr="00F7401D" w:rsidRDefault="001237FB" w:rsidP="00D00FEA">
      <w:pPr>
        <w:pStyle w:val="ListParagraph"/>
        <w:numPr>
          <w:ilvl w:val="0"/>
          <w:numId w:val="35"/>
        </w:numPr>
      </w:pPr>
      <w:r w:rsidRPr="00F7401D">
        <w:t>The requested drug is used to maintain dose schedule and intensity of chemotherapy.</w:t>
      </w:r>
    </w:p>
    <w:p w14:paraId="784D6ED7" w14:textId="6512EC83" w:rsidR="008B1332" w:rsidRPr="00F7401D" w:rsidRDefault="00B65538" w:rsidP="008B1332">
      <w:pPr>
        <w:pStyle w:val="Heading2"/>
      </w:pPr>
      <w:r w:rsidRPr="00F7401D">
        <w:t>Appendix</w:t>
      </w:r>
    </w:p>
    <w:p w14:paraId="0F19C758" w14:textId="62AA427C" w:rsidR="001237FB" w:rsidRPr="00F7401D" w:rsidRDefault="001237FB" w:rsidP="001237FB">
      <w:pPr>
        <w:pStyle w:val="Heading3"/>
      </w:pPr>
      <w:r w:rsidRPr="00F7401D">
        <w:t xml:space="preserve">Examples </w:t>
      </w:r>
      <w:r w:rsidR="00D00FEA">
        <w:t>o</w:t>
      </w:r>
      <w:r w:rsidR="00D00FEA" w:rsidRPr="00F7401D">
        <w:t xml:space="preserve">f Risk Factors </w:t>
      </w:r>
      <w:r w:rsidR="00D00FEA">
        <w:t>f</w:t>
      </w:r>
      <w:r w:rsidR="00D00FEA" w:rsidRPr="00F7401D">
        <w:t xml:space="preserve">or Bleeding </w:t>
      </w:r>
      <w:r w:rsidRPr="00F7401D">
        <w:t>(not all inclusive)</w:t>
      </w:r>
    </w:p>
    <w:p w14:paraId="6B01248D" w14:textId="77777777" w:rsidR="001237FB" w:rsidRPr="00F7401D" w:rsidRDefault="001237FB" w:rsidP="00D00FEA">
      <w:pPr>
        <w:pStyle w:val="ListParagraph"/>
        <w:numPr>
          <w:ilvl w:val="0"/>
          <w:numId w:val="36"/>
        </w:numPr>
      </w:pPr>
      <w:r w:rsidRPr="00F7401D">
        <w:t>Undergoing a medical or dental procedure where blood loss is anticipated</w:t>
      </w:r>
    </w:p>
    <w:p w14:paraId="25E42E29" w14:textId="77777777" w:rsidR="001237FB" w:rsidRPr="00F7401D" w:rsidRDefault="001237FB" w:rsidP="00D00FEA">
      <w:pPr>
        <w:pStyle w:val="ListParagraph"/>
        <w:numPr>
          <w:ilvl w:val="0"/>
          <w:numId w:val="36"/>
        </w:numPr>
      </w:pPr>
      <w:r w:rsidRPr="00F7401D">
        <w:t xml:space="preserve">Comorbidities for bleeding (e.g., peptic ulcer disease) </w:t>
      </w:r>
    </w:p>
    <w:p w14:paraId="3DCB94F7" w14:textId="344114D0" w:rsidR="001237FB" w:rsidRPr="00F7401D" w:rsidRDefault="001237FB" w:rsidP="00D00FEA">
      <w:pPr>
        <w:pStyle w:val="ListParagraph"/>
        <w:numPr>
          <w:ilvl w:val="0"/>
          <w:numId w:val="36"/>
        </w:numPr>
      </w:pPr>
      <w:r w:rsidRPr="00F7401D">
        <w:t>Mandated anticoagulation therapy</w:t>
      </w:r>
    </w:p>
    <w:p w14:paraId="68E9BB78" w14:textId="3FC84355" w:rsidR="001237FB" w:rsidRDefault="001237FB" w:rsidP="00D00FEA">
      <w:pPr>
        <w:pStyle w:val="ListParagraph"/>
        <w:numPr>
          <w:ilvl w:val="0"/>
          <w:numId w:val="36"/>
        </w:numPr>
      </w:pPr>
      <w:r w:rsidRPr="00F7401D">
        <w:t>Profession (e.g., construction worker) or lifestyle (e.g., plays contact sports) that predisposes member to trauma</w:t>
      </w:r>
      <w:bookmarkStart w:id="0" w:name="S2.2"/>
      <w:bookmarkStart w:id="1" w:name="section-2.2"/>
      <w:bookmarkStart w:id="2" w:name="section-2.2.1"/>
      <w:bookmarkStart w:id="3" w:name="section-2.2.2"/>
      <w:bookmarkEnd w:id="0"/>
      <w:bookmarkEnd w:id="1"/>
      <w:bookmarkEnd w:id="2"/>
      <w:bookmarkEnd w:id="3"/>
    </w:p>
    <w:p w14:paraId="10DA4309" w14:textId="707C1087" w:rsidR="00FF66BF" w:rsidRPr="00F7401D" w:rsidRDefault="00FF66BF" w:rsidP="001237FB">
      <w:pPr>
        <w:pStyle w:val="Heading2"/>
      </w:pPr>
      <w:r w:rsidRPr="00F7401D">
        <w:t>References</w:t>
      </w:r>
    </w:p>
    <w:p w14:paraId="53FBCCB2" w14:textId="77777777" w:rsidR="001237FB" w:rsidRPr="00D00FEA" w:rsidRDefault="001237FB" w:rsidP="00D00FEA">
      <w:pPr>
        <w:pStyle w:val="ReferenceOrdered"/>
      </w:pPr>
      <w:r w:rsidRPr="00D00FEA">
        <w:t>Nplate [package insert]. Thousand Oaks, CA: Amgen Inc.; February 2022.</w:t>
      </w:r>
    </w:p>
    <w:p w14:paraId="7DE8BE13" w14:textId="77777777" w:rsidR="001237FB" w:rsidRPr="00D00FEA" w:rsidRDefault="001237FB" w:rsidP="00D00FEA">
      <w:pPr>
        <w:pStyle w:val="ReferenceOrdered"/>
      </w:pPr>
      <w:r w:rsidRPr="00D00FEA">
        <w:t>The NCCN Drugs &amp; Biologics Compendium® © 2024 National Comprehensive Cancer Network, Inc. https://www.nccn.org. Accessed June 10, 2024.</w:t>
      </w:r>
    </w:p>
    <w:p w14:paraId="39EC9913" w14:textId="09F13DA3" w:rsidR="001237FB" w:rsidRPr="00D00FEA" w:rsidRDefault="001237FB" w:rsidP="000553FA">
      <w:pPr>
        <w:pStyle w:val="ReferenceOrdered"/>
      </w:pPr>
      <w:r w:rsidRPr="00D00FEA">
        <w:t>The NCCN Clinical Practice Guidelines in Oncology® Myelodysplastic Syndrome (Version 2.2024). © 2024 National Comprehensive Cancer Network, Inc. https://www.nccn.org. Accessed June 10, 2024.</w:t>
      </w:r>
    </w:p>
    <w:p w14:paraId="11054C97" w14:textId="6292FF54" w:rsidR="001237FB" w:rsidRPr="00D00FEA" w:rsidRDefault="001237FB" w:rsidP="00D00FEA">
      <w:pPr>
        <w:pStyle w:val="ReferenceOrdered"/>
      </w:pPr>
      <w:proofErr w:type="spellStart"/>
      <w:r w:rsidRPr="00D00FEA">
        <w:t>Nuenert</w:t>
      </w:r>
      <w:proofErr w:type="spellEnd"/>
      <w:r w:rsidRPr="00D00FEA">
        <w:t xml:space="preserve"> C, Terrel DR, Arnold DM, et al. American Society of Hematology 2019 guidelines for immune thrombocytopenia. Blood Adv. 2019;3(23):3829–3866.</w:t>
      </w:r>
    </w:p>
    <w:p w14:paraId="1357F069" w14:textId="3C5A361F" w:rsidR="001237FB" w:rsidRPr="00D00FEA" w:rsidRDefault="001237FB" w:rsidP="00D00FEA">
      <w:pPr>
        <w:pStyle w:val="ReferenceOrdered"/>
      </w:pPr>
      <w:r w:rsidRPr="00D00FEA">
        <w:t>Provan D, Arnold DM, Bussel JB, et al. Updated international consensus report on the investigation and management of primary immune thrombocytopenia. Blood Adv. 2019;3(22): 3780–3817.</w:t>
      </w:r>
    </w:p>
    <w:p w14:paraId="2FAE9E6C" w14:textId="77777777" w:rsidR="001237FB" w:rsidRPr="00D00FEA" w:rsidRDefault="001237FB" w:rsidP="00D00FEA">
      <w:pPr>
        <w:pStyle w:val="ReferenceOrdered"/>
      </w:pPr>
      <w:r w:rsidRPr="00D00FEA">
        <w:t xml:space="preserve">Rodeghiero F, Stasi R, </w:t>
      </w:r>
      <w:proofErr w:type="spellStart"/>
      <w:r w:rsidRPr="00D00FEA">
        <w:t>Gernsheimer</w:t>
      </w:r>
      <w:proofErr w:type="spellEnd"/>
      <w:r w:rsidRPr="00D00FEA">
        <w:t xml:space="preserve"> T, et al. Standardization of terminology, definitions and outcome criteria in immune thrombocytopenic purpura of adults and children: report from an international working group. Blood. 2009;113(11):2386-2393.</w:t>
      </w:r>
    </w:p>
    <w:p w14:paraId="47E1A10C" w14:textId="5AB16631" w:rsidR="00C44990" w:rsidRPr="00025724" w:rsidRDefault="001237FB" w:rsidP="005170CB">
      <w:pPr>
        <w:pStyle w:val="ReferenceOrdered"/>
      </w:pPr>
      <w:r w:rsidRPr="00D00FEA">
        <w:t>The NCCN Clinical Practice Guidelines in Oncology® Hematopoietic Growth Factors (Version 3.2024). © 2024 National Comprehensive Cancer Network, Inc. https://www.nccn.org. Accessed June 10, 2024.</w:t>
      </w:r>
    </w:p>
    <w:sectPr w:rsidR="00C44990" w:rsidRPr="00025724" w:rsidSect="00AA1E6A">
      <w:type w:val="continuous"/>
      <w:pgSz w:w="12240" w:h="15840" w:code="1"/>
      <w:pgMar w:top="900" w:right="720" w:bottom="990" w:left="720" w:header="720" w:footer="807"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682691" w14:textId="77777777" w:rsidR="00692579" w:rsidRDefault="00692579">
      <w:r>
        <w:separator/>
      </w:r>
    </w:p>
  </w:endnote>
  <w:endnote w:type="continuationSeparator" w:id="0">
    <w:p w14:paraId="595D6E99" w14:textId="77777777" w:rsidR="00692579" w:rsidRDefault="00692579">
      <w:r>
        <w:continuationSeparator/>
      </w:r>
    </w:p>
  </w:endnote>
  <w:endnote w:type="continuationNotice" w:id="1">
    <w:p w14:paraId="7D0F6BB7" w14:textId="77777777" w:rsidR="00692579" w:rsidRDefault="006925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2B0E5E23"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1E65D8" w:rsidRPr="001E65D8">
      <w:rPr>
        <w:rFonts w:cs="Arial"/>
        <w:noProof/>
        <w:sz w:val="16"/>
        <w:szCs w:val="16"/>
      </w:rPr>
      <w:t>Nplate</w:t>
    </w:r>
    <w:r w:rsidR="001E65D8">
      <w:rPr>
        <w:rFonts w:cs="Arial"/>
        <w:noProof/>
        <w:snapToGrid w:val="0"/>
        <w:color w:val="000000"/>
        <w:sz w:val="16"/>
        <w:szCs w:val="16"/>
      </w:rPr>
      <w:t xml:space="preserve"> SGM 1927-A</w:t>
    </w:r>
    <w:r w:rsidR="001E65D8" w:rsidRPr="001E65D8">
      <w:rPr>
        <w:rFonts w:cs="Arial"/>
        <w:noProof/>
        <w:sz w:val="16"/>
        <w:szCs w:val="16"/>
      </w:rPr>
      <w:t xml:space="preserve"> P2024</w:t>
    </w:r>
    <w:r w:rsidR="001E65D8">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61CF5924" w14:textId="255740E4"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72A7AAFA" w:rsidR="00F75C81" w:rsidRPr="00025724" w:rsidRDefault="00C36B72" w:rsidP="00025724">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03E93642"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1E65D8" w:rsidRPr="001E65D8">
      <w:rPr>
        <w:rFonts w:cs="Arial"/>
        <w:noProof/>
        <w:sz w:val="16"/>
        <w:szCs w:val="16"/>
      </w:rPr>
      <w:t>Nplate</w:t>
    </w:r>
    <w:r w:rsidR="001E65D8">
      <w:rPr>
        <w:rFonts w:cs="Arial"/>
        <w:noProof/>
        <w:snapToGrid w:val="0"/>
        <w:color w:val="000000"/>
        <w:sz w:val="16"/>
        <w:szCs w:val="16"/>
      </w:rPr>
      <w:t xml:space="preserve"> SGM 1927-A</w:t>
    </w:r>
    <w:r w:rsidR="001E65D8" w:rsidRPr="001E65D8">
      <w:rPr>
        <w:rFonts w:cs="Arial"/>
        <w:noProof/>
        <w:sz w:val="16"/>
        <w:szCs w:val="16"/>
      </w:rPr>
      <w:t xml:space="preserve"> P2024</w:t>
    </w:r>
    <w:r w:rsidR="001E65D8">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D74279" w:rsidRPr="00EC47B6">
      <w:rPr>
        <w:rFonts w:cs="Arial"/>
        <w:snapToGrid w:val="0"/>
        <w:color w:val="000000"/>
        <w:sz w:val="16"/>
      </w:rPr>
      <w:t>4</w:t>
    </w:r>
    <w:r w:rsidRPr="00EC47B6">
      <w:rPr>
        <w:rFonts w:cs="Arial"/>
        <w:snapToGrid w:val="0"/>
        <w:color w:val="000000"/>
        <w:sz w:val="16"/>
      </w:rPr>
      <w:t xml:space="preserve"> CVS Caremark. All rights reserved.</w:t>
    </w:r>
  </w:p>
  <w:p w14:paraId="39BFE579" w14:textId="60E7BE71"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7C5B981E" w:rsidR="00ED04EC" w:rsidRPr="00025724" w:rsidRDefault="00F50D98" w:rsidP="00025724">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0397BD" w14:textId="77777777" w:rsidR="00692579" w:rsidRDefault="00692579">
      <w:r>
        <w:separator/>
      </w:r>
    </w:p>
  </w:footnote>
  <w:footnote w:type="continuationSeparator" w:id="0">
    <w:p w14:paraId="5AAA4E04" w14:textId="77777777" w:rsidR="00692579" w:rsidRDefault="00692579">
      <w:r>
        <w:continuationSeparator/>
      </w:r>
    </w:p>
  </w:footnote>
  <w:footnote w:type="continuationNotice" w:id="1">
    <w:p w14:paraId="0D5F7CA5" w14:textId="77777777" w:rsidR="00692579" w:rsidRDefault="0069257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F7401D" w:rsidRDefault="00ED04EC" w:rsidP="00ED04EC">
          <w:pPr>
            <w:pStyle w:val="Header"/>
            <w:rPr>
              <w:rFonts w:cs="Arial"/>
              <w:sz w:val="16"/>
              <w:szCs w:val="16"/>
            </w:rPr>
          </w:pPr>
          <w:r w:rsidRPr="00F7401D">
            <w:rPr>
              <w:rFonts w:cs="Arial"/>
              <w:sz w:val="16"/>
              <w:szCs w:val="16"/>
            </w:rPr>
            <w:t>Reference number(s)</w:t>
          </w:r>
        </w:p>
      </w:tc>
    </w:tr>
    <w:tr w:rsidR="00ED04EC" w:rsidRPr="00ED04EC" w14:paraId="703C6588" w14:textId="77777777">
      <w:trPr>
        <w:trHeight w:val="378"/>
        <w:jc w:val="right"/>
      </w:trPr>
      <w:tc>
        <w:tcPr>
          <w:tcW w:w="1854" w:type="dxa"/>
          <w:hideMark/>
        </w:tcPr>
        <w:p w14:paraId="51CE3E64" w14:textId="19626792" w:rsidR="00ED04EC" w:rsidRPr="00F7401D" w:rsidRDefault="00E57C0A" w:rsidP="00ED04EC">
          <w:pPr>
            <w:pStyle w:val="Header"/>
            <w:rPr>
              <w:rFonts w:cs="Arial"/>
              <w:sz w:val="16"/>
              <w:szCs w:val="16"/>
            </w:rPr>
          </w:pPr>
          <w:r w:rsidRPr="00F7401D">
            <w:rPr>
              <w:rFonts w:cs="Arial"/>
              <w:sz w:val="16"/>
              <w:szCs w:val="16"/>
            </w:rPr>
            <w:t>1927-A</w:t>
          </w:r>
        </w:p>
      </w:tc>
    </w:tr>
  </w:tbl>
  <w:p w14:paraId="0D5ACCC2" w14:textId="462A1075" w:rsidR="00ED04EC" w:rsidRPr="00AA1E6A" w:rsidRDefault="00ED04EC" w:rsidP="00B02279">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8A41B50"/>
    <w:multiLevelType w:val="hybridMultilevel"/>
    <w:tmpl w:val="87D67C1C"/>
    <w:lvl w:ilvl="0" w:tplc="FFFFFFFF">
      <w:start w:val="1"/>
      <w:numFmt w:val="bullet"/>
      <w:lvlText w:val=""/>
      <w:lvlJc w:val="left"/>
      <w:pPr>
        <w:ind w:left="720" w:hanging="360"/>
      </w:pPr>
      <w:rPr>
        <w:rFonts w:ascii="Symbol" w:hAnsi="Symbol" w:hint="default"/>
      </w:rPr>
    </w:lvl>
    <w:lvl w:ilvl="1" w:tplc="081D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3D0359D"/>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6"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207A1517"/>
    <w:multiLevelType w:val="hybridMultilevel"/>
    <w:tmpl w:val="AFA860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5CC4F11"/>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44E60E8"/>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B9214FD"/>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6C62479B"/>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6F9877FD"/>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2"/>
  </w:num>
  <w:num w:numId="2" w16cid:durableId="606935877">
    <w:abstractNumId w:val="28"/>
  </w:num>
  <w:num w:numId="3" w16cid:durableId="611589570">
    <w:abstractNumId w:val="24"/>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3"/>
  </w:num>
  <w:num w:numId="15" w16cid:durableId="616722934">
    <w:abstractNumId w:val="10"/>
  </w:num>
  <w:num w:numId="16" w16cid:durableId="898320195">
    <w:abstractNumId w:val="21"/>
  </w:num>
  <w:num w:numId="17" w16cid:durableId="2128498676">
    <w:abstractNumId w:val="33"/>
  </w:num>
  <w:num w:numId="18" w16cid:durableId="299724409">
    <w:abstractNumId w:val="25"/>
  </w:num>
  <w:num w:numId="19" w16cid:durableId="214585573">
    <w:abstractNumId w:val="15"/>
  </w:num>
  <w:num w:numId="20" w16cid:durableId="1289816170">
    <w:abstractNumId w:val="16"/>
  </w:num>
  <w:num w:numId="21" w16cid:durableId="1066490929">
    <w:abstractNumId w:val="34"/>
  </w:num>
  <w:num w:numId="22" w16cid:durableId="1472481103">
    <w:abstractNumId w:val="27"/>
  </w:num>
  <w:num w:numId="23" w16cid:durableId="1997420403">
    <w:abstractNumId w:val="29"/>
  </w:num>
  <w:num w:numId="24" w16cid:durableId="33312838">
    <w:abstractNumId w:val="26"/>
  </w:num>
  <w:num w:numId="25" w16cid:durableId="507404939">
    <w:abstractNumId w:val="19"/>
  </w:num>
  <w:num w:numId="26" w16cid:durableId="1950313333">
    <w:abstractNumId w:val="23"/>
  </w:num>
  <w:num w:numId="27" w16cid:durableId="1866016584">
    <w:abstractNumId w:val="22"/>
  </w:num>
  <w:num w:numId="28" w16cid:durableId="919756301">
    <w:abstractNumId w:val="34"/>
  </w:num>
  <w:num w:numId="29" w16cid:durableId="729839728">
    <w:abstractNumId w:val="17"/>
  </w:num>
  <w:num w:numId="30" w16cid:durableId="2001274497">
    <w:abstractNumId w:val="11"/>
  </w:num>
  <w:num w:numId="31" w16cid:durableId="1707412630">
    <w:abstractNumId w:val="32"/>
  </w:num>
  <w:num w:numId="32" w16cid:durableId="169951763">
    <w:abstractNumId w:val="18"/>
  </w:num>
  <w:num w:numId="33" w16cid:durableId="1821461413">
    <w:abstractNumId w:val="20"/>
  </w:num>
  <w:num w:numId="34" w16cid:durableId="947541343">
    <w:abstractNumId w:val="31"/>
  </w:num>
  <w:num w:numId="35" w16cid:durableId="1936788510">
    <w:abstractNumId w:val="14"/>
  </w:num>
  <w:num w:numId="36" w16cid:durableId="1880778285">
    <w:abstractNumId w:val="3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724"/>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1200"/>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3E8"/>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436C"/>
    <w:rsid w:val="000C5A6F"/>
    <w:rsid w:val="000C625F"/>
    <w:rsid w:val="000C6C34"/>
    <w:rsid w:val="000C6FAA"/>
    <w:rsid w:val="000C7000"/>
    <w:rsid w:val="000C78EA"/>
    <w:rsid w:val="000C7B51"/>
    <w:rsid w:val="000C7EA2"/>
    <w:rsid w:val="000D0438"/>
    <w:rsid w:val="000D04AF"/>
    <w:rsid w:val="000D1463"/>
    <w:rsid w:val="000D19C4"/>
    <w:rsid w:val="000D1CEC"/>
    <w:rsid w:val="000D1D17"/>
    <w:rsid w:val="000D2496"/>
    <w:rsid w:val="000D24FD"/>
    <w:rsid w:val="000D31D7"/>
    <w:rsid w:val="000D39D5"/>
    <w:rsid w:val="000D44C7"/>
    <w:rsid w:val="000D454D"/>
    <w:rsid w:val="000D4EA4"/>
    <w:rsid w:val="000D5101"/>
    <w:rsid w:val="000D56C1"/>
    <w:rsid w:val="000D5978"/>
    <w:rsid w:val="000D5D4B"/>
    <w:rsid w:val="000D7ED8"/>
    <w:rsid w:val="000E0438"/>
    <w:rsid w:val="000E095D"/>
    <w:rsid w:val="000E0C62"/>
    <w:rsid w:val="000E24FA"/>
    <w:rsid w:val="000E2ECC"/>
    <w:rsid w:val="000E37E4"/>
    <w:rsid w:val="000E3A1B"/>
    <w:rsid w:val="000E3CA7"/>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03DE"/>
    <w:rsid w:val="00121BD0"/>
    <w:rsid w:val="00121F7F"/>
    <w:rsid w:val="00122472"/>
    <w:rsid w:val="001237FB"/>
    <w:rsid w:val="001244EB"/>
    <w:rsid w:val="0012494A"/>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752"/>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4E71"/>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5D8"/>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47014"/>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6735"/>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98"/>
    <w:rsid w:val="002773DB"/>
    <w:rsid w:val="00277791"/>
    <w:rsid w:val="002777DF"/>
    <w:rsid w:val="002807CC"/>
    <w:rsid w:val="00280C69"/>
    <w:rsid w:val="00280EC5"/>
    <w:rsid w:val="00281A75"/>
    <w:rsid w:val="00281F6C"/>
    <w:rsid w:val="0028234F"/>
    <w:rsid w:val="0028452B"/>
    <w:rsid w:val="00284D74"/>
    <w:rsid w:val="00285DDF"/>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9BA"/>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56"/>
    <w:rsid w:val="003A2E60"/>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3A0"/>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1798"/>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1F14"/>
    <w:rsid w:val="0042209A"/>
    <w:rsid w:val="0042222E"/>
    <w:rsid w:val="00422416"/>
    <w:rsid w:val="004226CD"/>
    <w:rsid w:val="00422766"/>
    <w:rsid w:val="004236F4"/>
    <w:rsid w:val="00423C96"/>
    <w:rsid w:val="00425453"/>
    <w:rsid w:val="004260D4"/>
    <w:rsid w:val="004260DE"/>
    <w:rsid w:val="0042761F"/>
    <w:rsid w:val="00427B15"/>
    <w:rsid w:val="00430B2F"/>
    <w:rsid w:val="00430D67"/>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A01"/>
    <w:rsid w:val="00514A89"/>
    <w:rsid w:val="00515A3D"/>
    <w:rsid w:val="00515A5C"/>
    <w:rsid w:val="005166CA"/>
    <w:rsid w:val="00516920"/>
    <w:rsid w:val="005170CB"/>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4D7C"/>
    <w:rsid w:val="005B52C4"/>
    <w:rsid w:val="005C026B"/>
    <w:rsid w:val="005C0790"/>
    <w:rsid w:val="005C194C"/>
    <w:rsid w:val="005C2667"/>
    <w:rsid w:val="005C295A"/>
    <w:rsid w:val="005C2C21"/>
    <w:rsid w:val="005C3B4F"/>
    <w:rsid w:val="005C44D1"/>
    <w:rsid w:val="005C52A6"/>
    <w:rsid w:val="005C6812"/>
    <w:rsid w:val="005C6D2C"/>
    <w:rsid w:val="005C70B5"/>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64E"/>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434"/>
    <w:rsid w:val="0063460D"/>
    <w:rsid w:val="006349A7"/>
    <w:rsid w:val="00634C01"/>
    <w:rsid w:val="00634DD7"/>
    <w:rsid w:val="00634EA3"/>
    <w:rsid w:val="00635717"/>
    <w:rsid w:val="00636D27"/>
    <w:rsid w:val="0063736B"/>
    <w:rsid w:val="006374D1"/>
    <w:rsid w:val="00637D18"/>
    <w:rsid w:val="0064175A"/>
    <w:rsid w:val="006423EC"/>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579"/>
    <w:rsid w:val="0069283D"/>
    <w:rsid w:val="00692A50"/>
    <w:rsid w:val="00693997"/>
    <w:rsid w:val="00693B34"/>
    <w:rsid w:val="00694B18"/>
    <w:rsid w:val="00694B30"/>
    <w:rsid w:val="00694B8A"/>
    <w:rsid w:val="00694C2D"/>
    <w:rsid w:val="00696693"/>
    <w:rsid w:val="00697304"/>
    <w:rsid w:val="006A0C3B"/>
    <w:rsid w:val="006A1D42"/>
    <w:rsid w:val="006A29D6"/>
    <w:rsid w:val="006A2EC3"/>
    <w:rsid w:val="006A37C9"/>
    <w:rsid w:val="006A3CFD"/>
    <w:rsid w:val="006A3F40"/>
    <w:rsid w:val="006A5A46"/>
    <w:rsid w:val="006A790B"/>
    <w:rsid w:val="006A7B7D"/>
    <w:rsid w:val="006B01F7"/>
    <w:rsid w:val="006B33B8"/>
    <w:rsid w:val="006B34B3"/>
    <w:rsid w:val="006B371D"/>
    <w:rsid w:val="006B408B"/>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C771D"/>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AEC"/>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27F8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5890"/>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17D"/>
    <w:rsid w:val="00765BBE"/>
    <w:rsid w:val="00766061"/>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18B8"/>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112"/>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154"/>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312"/>
    <w:rsid w:val="009B1482"/>
    <w:rsid w:val="009B1B86"/>
    <w:rsid w:val="009B35DC"/>
    <w:rsid w:val="009B3740"/>
    <w:rsid w:val="009B579E"/>
    <w:rsid w:val="009B5866"/>
    <w:rsid w:val="009B5A24"/>
    <w:rsid w:val="009B6153"/>
    <w:rsid w:val="009B7708"/>
    <w:rsid w:val="009C0A23"/>
    <w:rsid w:val="009C1EA0"/>
    <w:rsid w:val="009C2E32"/>
    <w:rsid w:val="009C3C50"/>
    <w:rsid w:val="009C4B9D"/>
    <w:rsid w:val="009C4E1E"/>
    <w:rsid w:val="009C595B"/>
    <w:rsid w:val="009C6673"/>
    <w:rsid w:val="009C6CB5"/>
    <w:rsid w:val="009C6CFE"/>
    <w:rsid w:val="009C7D3E"/>
    <w:rsid w:val="009D0B0C"/>
    <w:rsid w:val="009D0C37"/>
    <w:rsid w:val="009D1F57"/>
    <w:rsid w:val="009D2D63"/>
    <w:rsid w:val="009D3F0F"/>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6451"/>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1AB"/>
    <w:rsid w:val="00A82509"/>
    <w:rsid w:val="00A82DDB"/>
    <w:rsid w:val="00A83FA7"/>
    <w:rsid w:val="00A84AD9"/>
    <w:rsid w:val="00A84CB5"/>
    <w:rsid w:val="00A85D18"/>
    <w:rsid w:val="00A8608E"/>
    <w:rsid w:val="00A86211"/>
    <w:rsid w:val="00A87B90"/>
    <w:rsid w:val="00A87BF7"/>
    <w:rsid w:val="00A9069E"/>
    <w:rsid w:val="00A9152C"/>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081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18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1CD0"/>
    <w:rsid w:val="00C1258B"/>
    <w:rsid w:val="00C12A64"/>
    <w:rsid w:val="00C1305C"/>
    <w:rsid w:val="00C132E2"/>
    <w:rsid w:val="00C13981"/>
    <w:rsid w:val="00C13B83"/>
    <w:rsid w:val="00C13C5D"/>
    <w:rsid w:val="00C13C9B"/>
    <w:rsid w:val="00C13D90"/>
    <w:rsid w:val="00C1408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550D"/>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18"/>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3FE"/>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0FEA"/>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3D"/>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1AB"/>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F98"/>
    <w:rsid w:val="00E57C0A"/>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0D01"/>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01D"/>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2E88"/>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C44"/>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6FF7"/>
    <w:rsid w:val="00FE78A7"/>
    <w:rsid w:val="00FE7C80"/>
    <w:rsid w:val="00FF2F94"/>
    <w:rsid w:val="00FF35C5"/>
    <w:rsid w:val="00FF37B2"/>
    <w:rsid w:val="00FF530E"/>
    <w:rsid w:val="00FF5C3C"/>
    <w:rsid w:val="00FF66BF"/>
    <w:rsid w:val="00FF7695"/>
    <w:rsid w:val="29729D5D"/>
    <w:rsid w:val="456B1CF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6C748D2-F6B6-4F6B-984B-81738D839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Type">
    <w:name w:val="Type"/>
    <w:basedOn w:val="Normal"/>
    <w:link w:val="TypeChar"/>
    <w:qFormat/>
    <w:rsid w:val="003279BA"/>
    <w:pPr>
      <w:jc w:val="center"/>
    </w:pPr>
    <w:rPr>
      <w:b/>
      <w:bCs/>
    </w:rPr>
  </w:style>
  <w:style w:type="character" w:customStyle="1" w:styleId="TypeChar">
    <w:name w:val="Type Char"/>
    <w:basedOn w:val="DefaultParagraphFont"/>
    <w:link w:val="Type"/>
    <w:rsid w:val="003279BA"/>
    <w:rPr>
      <w:rFonts w:ascii="CVS Health Sans" w:hAnsi="CVS Health Sans"/>
      <w:b/>
      <w:bCs/>
      <w:sz w:val="22"/>
    </w:rPr>
  </w:style>
  <w:style w:type="character" w:customStyle="1" w:styleId="ui-provider">
    <w:name w:val="ui-provider"/>
    <w:basedOn w:val="DefaultParagraphFont"/>
    <w:rsid w:val="00B041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2.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s>
</ds:datastoreItem>
</file>

<file path=customXml/itemProps3.xml><?xml version="1.0" encoding="utf-8"?>
<ds:datastoreItem xmlns:ds="http://schemas.openxmlformats.org/officeDocument/2006/customXml" ds:itemID="{47F16F7D-37AE-4816-AA9A-085095964819}"/>
</file>

<file path=customXml/itemProps4.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1002</Words>
  <Characters>5715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Nplate 1927-A SGM 2024</vt:lpstr>
    </vt:vector>
  </TitlesOfParts>
  <Company>PCS Health Systems</Company>
  <LinksUpToDate>false</LinksUpToDate>
  <CharactersWithSpaces>6704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Nplate 1927-A SGM 2024</dc:title>
  <dc:subject/>
  <dc:creator>CVS Caremark</dc:creator>
  <cp:keywords/>
  <cp:lastModifiedBy>Ng, Candy</cp:lastModifiedBy>
  <cp:revision>4</cp:revision>
  <cp:lastPrinted>2018-01-09T11:01:00Z</cp:lastPrinted>
  <dcterms:created xsi:type="dcterms:W3CDTF">2024-11-01T21:15:00Z</dcterms:created>
  <dcterms:modified xsi:type="dcterms:W3CDTF">2024-11-01T21:16:00Z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1582500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